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24C" w:rsidRPr="00FF0F6D" w:rsidRDefault="000A724C" w:rsidP="00131012">
      <w:pPr>
        <w:jc w:val="center"/>
        <w:rPr>
          <w:rFonts w:ascii="Times New Roman" w:hAnsi="Times New Roman"/>
          <w:sz w:val="20"/>
          <w:szCs w:val="20"/>
        </w:rPr>
      </w:pPr>
      <w:r w:rsidRPr="00FF0F6D">
        <w:rPr>
          <w:rFonts w:ascii="Times New Roman" w:hAnsi="Times New Roman"/>
          <w:sz w:val="20"/>
          <w:szCs w:val="20"/>
        </w:rPr>
        <w:t xml:space="preserve">Supplemental Table </w:t>
      </w:r>
      <w:r>
        <w:rPr>
          <w:rFonts w:ascii="Times New Roman" w:hAnsi="Times New Roman"/>
          <w:sz w:val="20"/>
          <w:szCs w:val="20"/>
        </w:rPr>
        <w:t>1</w:t>
      </w:r>
      <w:r w:rsidRPr="00FF0F6D">
        <w:rPr>
          <w:rFonts w:ascii="Times New Roman" w:hAnsi="Times New Roman"/>
          <w:sz w:val="20"/>
          <w:szCs w:val="20"/>
        </w:rPr>
        <w:t xml:space="preserve"> The information of the up-regulated genes</w:t>
      </w:r>
    </w:p>
    <w:tbl>
      <w:tblPr>
        <w:tblW w:w="1026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000000"/>
        </w:tblBorders>
        <w:tblLook w:val="00A0"/>
      </w:tblPr>
      <w:tblGrid>
        <w:gridCol w:w="1094"/>
        <w:gridCol w:w="1539"/>
        <w:gridCol w:w="2804"/>
        <w:gridCol w:w="2416"/>
        <w:gridCol w:w="2416"/>
      </w:tblGrid>
      <w:tr w:rsidR="000A724C" w:rsidRPr="00523C1C" w:rsidTr="00523C1C">
        <w:trPr>
          <w:jc w:val="center"/>
        </w:trPr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Name</w:t>
            </w:r>
          </w:p>
        </w:tc>
        <w:tc>
          <w:tcPr>
            <w:tcW w:w="15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Gene Accession</w:t>
            </w:r>
          </w:p>
        </w:tc>
        <w:tc>
          <w:tcPr>
            <w:tcW w:w="28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A724C" w:rsidRPr="00523C1C" w:rsidRDefault="000A724C" w:rsidP="00DF0FC4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Gene Definition</w:t>
            </w:r>
          </w:p>
        </w:tc>
        <w:tc>
          <w:tcPr>
            <w:tcW w:w="24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Pathways</w:t>
            </w:r>
          </w:p>
        </w:tc>
        <w:tc>
          <w:tcPr>
            <w:tcW w:w="24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References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top w:val="single" w:sz="4" w:space="0" w:color="000000"/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CesA1</w:t>
            </w:r>
          </w:p>
        </w:tc>
        <w:tc>
          <w:tcPr>
            <w:tcW w:w="1539" w:type="dxa"/>
            <w:tcBorders>
              <w:top w:val="single" w:sz="4" w:space="0" w:color="000000"/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NM_001326276</w:t>
            </w:r>
          </w:p>
        </w:tc>
        <w:tc>
          <w:tcPr>
            <w:tcW w:w="2804" w:type="dxa"/>
            <w:tcBorders>
              <w:top w:val="single" w:sz="4" w:space="0" w:color="000000"/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cellulose synthase A catalytic subunit 2</w:t>
            </w:r>
          </w:p>
        </w:tc>
        <w:tc>
          <w:tcPr>
            <w:tcW w:w="2416" w:type="dxa"/>
            <w:tcBorders>
              <w:top w:val="single" w:sz="4" w:space="0" w:color="000000"/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Cellulose synthase</w:t>
            </w:r>
          </w:p>
        </w:tc>
        <w:tc>
          <w:tcPr>
            <w:tcW w:w="2416" w:type="dxa"/>
            <w:tcBorders>
              <w:top w:val="single" w:sz="4" w:space="0" w:color="000000"/>
              <w:left w:val="nil"/>
              <w:right w:val="nil"/>
            </w:tcBorders>
          </w:tcPr>
          <w:p w:rsidR="000A724C" w:rsidRPr="00523C1C" w:rsidRDefault="000A724C" w:rsidP="00DB0A66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Wada Y., Miyamoto K., Kusano T., et al. (2004). Association between up-regulation of stress-responsive genes and hypomethylation of genomic DNA in tobacco plants. </w:t>
            </w:r>
            <w:r w:rsidRPr="00523C1C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Molecular Genetics and Genomics</w:t>
            </w: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, </w:t>
            </w:r>
            <w:r w:rsidRPr="00523C1C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271</w:t>
            </w: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(6), 658-666.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CesA7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JQ735443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i/>
                <w:sz w:val="20"/>
                <w:szCs w:val="20"/>
              </w:rPr>
              <w:t>NtCesA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7"/>
                <w:attr w:name="Year" w:val="2005"/>
              </w:smartTagPr>
              <w:r w:rsidRPr="00523C1C">
                <w:rPr>
                  <w:rFonts w:ascii="Times New Roman" w:hAnsi="Times New Roman"/>
                  <w:i/>
                  <w:sz w:val="20"/>
                  <w:szCs w:val="20"/>
                </w:rPr>
                <w:t>7</w:t>
              </w:r>
              <w:r w:rsidRPr="00523C1C">
                <w:rPr>
                  <w:rFonts w:ascii="Times New Roman" w:hAnsi="Times New Roman"/>
                  <w:sz w:val="20"/>
                  <w:szCs w:val="20"/>
                </w:rPr>
                <w:t>-24-5</w:t>
              </w:r>
            </w:smartTag>
            <w:r w:rsidRPr="00523C1C">
              <w:rPr>
                <w:rFonts w:ascii="Times New Roman" w:hAnsi="Times New Roman"/>
                <w:sz w:val="20"/>
                <w:szCs w:val="20"/>
              </w:rPr>
              <w:t xml:space="preserve"> cellulose synthase (cesA)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Cellulose synthase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 w:rsidP="00DB0A66">
            <w:pP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Goué N., Mortimer J.C., Nakano Y., et al. (2013). Secondary cell wall characterization in a BY-2 inductive system. Plant Cell, Tissue and Organ Culture (PCTOC), 115(2), 223-232.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CesA8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JQ735445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i/>
                <w:sz w:val="20"/>
                <w:szCs w:val="20"/>
              </w:rPr>
              <w:t>NtCesA8</w:t>
            </w:r>
            <w:r w:rsidRPr="00523C1C">
              <w:rPr>
                <w:rFonts w:ascii="Times New Roman" w:hAnsi="Times New Roman"/>
                <w:sz w:val="20"/>
                <w:szCs w:val="20"/>
              </w:rPr>
              <w:t>F8-4 cellulose synthase (cesA)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Cellulose synthase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Goué N., Mortimer J.C., Nakano Y., et al. (2013). Secondary cell wall characterization in a BY-2 inductive system. Plant Cell, Tissue and Organ Culture (PCTOC), 115(2), 223-232.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IRX8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JQ735447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i/>
                <w:sz w:val="20"/>
                <w:szCs w:val="20"/>
              </w:rPr>
              <w:t>NtIRX8F528d</w:t>
            </w:r>
            <w:r w:rsidRPr="00523C1C">
              <w:rPr>
                <w:rFonts w:ascii="Times New Roman" w:hAnsi="Times New Roman"/>
                <w:sz w:val="20"/>
                <w:szCs w:val="20"/>
              </w:rPr>
              <w:t xml:space="preserve"> glycosyl transferase (IRX8)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Secondary cell wall biosynthesis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Goué N., Mortimer J.C., Nakano Y., et al. (2013). Secondary cell wall characterization in a BY-2 inductive system. Plant Cell, Tissue and Organ Culture (PCTOC), 115(2), 223-232.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IRX10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JQ735451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i/>
                <w:color w:val="000000"/>
                <w:sz w:val="20"/>
                <w:szCs w:val="20"/>
                <w:shd w:val="clear" w:color="auto" w:fill="FFFFFF"/>
              </w:rPr>
              <w:t>NtIRX-F21</w:t>
            </w: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glycosyl transferase (IRX10)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Secondary cell wall biosynthesis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Goué N., Mortimer J.C., Nakano Y., et al. (2013). Secondary cell wall characterization in a BY-2 inductive system. Plant Cell, Tissue and Organ Culture (PCTOC), 115(2), 223-232.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PAL1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AB008200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palB gene for phenylalanine ammonia-lyase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Lignin biosynthesis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 w:rsidP="0086273B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Taguchi G., Sharan M., Gonda K., et al. (1998). Effect of methyl jasmonate and elicitor on PAL gene expression in tobacco cultured cells. </w:t>
            </w:r>
            <w:r w:rsidRPr="00523C1C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Journal of plant biochemistry and biotechnology</w:t>
            </w: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, </w:t>
            </w:r>
            <w:r w:rsidRPr="00523C1C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7</w:t>
            </w: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(2), 79-84.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PAL4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NM_001325544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phenylalanine ammonia-lyase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Lignin biosynthesis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 w:rsidP="00BD4BAE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Pellegrini L., Rohfritsch O., Fritig B., et al. (1994). Phenylalanine ammonia-lyase in tobacco (molecular cloning and gene expression during the hypersensitive reaction to tobacco mosaic virus and the response to a fungal elicitor). </w:t>
            </w:r>
            <w:r w:rsidRPr="00523C1C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Plant Physiology,</w:t>
            </w: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23C1C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106</w:t>
            </w: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(3), 877-86.</w:t>
            </w:r>
          </w:p>
        </w:tc>
      </w:tr>
      <w:tr w:rsidR="000A724C" w:rsidRPr="00523C1C" w:rsidTr="00523C1C">
        <w:trPr>
          <w:trHeight w:val="1427"/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CAD14/19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NM_001325471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cinnamyl alcohol dehydrogenase 1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Lignin biosynthesis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 w:rsidP="00DF2EA8">
            <w:pPr>
              <w:rPr>
                <w:rFonts w:ascii="Times New Roman" w:hAnsi="Times New Roman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523C1C">
                  <w:rPr>
                    <w:rFonts w:ascii="Times New Roman" w:eastAsia="微软雅黑" w:hAnsi="Times New Roman"/>
                    <w:color w:val="000000"/>
                    <w:sz w:val="20"/>
                    <w:szCs w:val="20"/>
                    <w:shd w:val="clear" w:color="auto" w:fill="FFFFFF"/>
                  </w:rPr>
                  <w:t>Knight</w:t>
                </w:r>
              </w:smartTag>
              <w:r w:rsidRPr="00523C1C">
                <w:rPr>
                  <w:rFonts w:ascii="Times New Roman" w:eastAsia="微软雅黑" w:hAnsi="Times New Roman"/>
                  <w:color w:val="000000"/>
                  <w:sz w:val="20"/>
                  <w:szCs w:val="20"/>
                  <w:shd w:val="clear" w:color="auto" w:fill="FFFFFF"/>
                </w:rPr>
                <w:t xml:space="preserve"> </w:t>
              </w:r>
              <w:smartTag w:uri="urn:schemas-microsoft-com:office:smarttags" w:element="State">
                <w:r w:rsidRPr="00523C1C">
                  <w:rPr>
                    <w:rFonts w:ascii="Times New Roman" w:eastAsia="微软雅黑" w:hAnsi="Times New Roman"/>
                    <w:color w:val="000000"/>
                    <w:sz w:val="20"/>
                    <w:szCs w:val="20"/>
                    <w:shd w:val="clear" w:color="auto" w:fill="FFFFFF"/>
                  </w:rPr>
                  <w:t>M.E.</w:t>
                </w:r>
              </w:smartTag>
            </w:smartTag>
            <w:r w:rsidRPr="00523C1C">
              <w:rPr>
                <w:rFonts w:ascii="Times New Roman" w:eastAsia="微软雅黑" w:hAnsi="Times New Roman"/>
                <w:color w:val="000000"/>
                <w:sz w:val="20"/>
                <w:szCs w:val="20"/>
                <w:shd w:val="clear" w:color="auto" w:fill="FFFFFF"/>
              </w:rPr>
              <w:t xml:space="preserve">, Halpin C., Schuch W.. (1992). Identification and characterisation of cdna clones encoding cinnamyl alcohol dehydrogenase from tobacco. </w:t>
            </w:r>
            <w:r w:rsidRPr="00523C1C">
              <w:rPr>
                <w:rFonts w:ascii="Times New Roman" w:eastAsia="微软雅黑" w:hAnsi="Times New Roman"/>
                <w:i/>
                <w:iCs/>
                <w:color w:val="000000"/>
                <w:sz w:val="20"/>
                <w:szCs w:val="20"/>
              </w:rPr>
              <w:t>Plant Molecular Biology,</w:t>
            </w:r>
            <w:r w:rsidRPr="00523C1C">
              <w:rPr>
                <w:rFonts w:ascii="Times New Roman" w:eastAsia="微软雅黑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23C1C">
              <w:rPr>
                <w:rFonts w:ascii="Times New Roman" w:eastAsia="微软雅黑" w:hAnsi="Times New Roman"/>
                <w:i/>
                <w:iCs/>
                <w:color w:val="000000"/>
                <w:sz w:val="20"/>
                <w:szCs w:val="20"/>
              </w:rPr>
              <w:t>19</w:t>
            </w:r>
            <w:r w:rsidRPr="00523C1C">
              <w:rPr>
                <w:rFonts w:ascii="Times New Roman" w:eastAsia="微软雅黑" w:hAnsi="Times New Roman"/>
                <w:color w:val="000000"/>
                <w:sz w:val="20"/>
                <w:szCs w:val="20"/>
                <w:shd w:val="clear" w:color="auto" w:fill="FFFFFF"/>
              </w:rPr>
              <w:t>(5), 793.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4CL1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NM_001325738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4-coumarate--CoA ligase 1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 w:rsidP="00136737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Lignin biosynthesis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 w:rsidP="00555AC1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Lee D., and Douglas C.J. (1996). Two divergent members of a tobacco 4-coumarate: coenzyme a ligase (4cl) gene family. cdna structure, gene inheritance and expression, and properties of recombinant proteins. </w:t>
            </w:r>
            <w:r w:rsidRPr="00523C1C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Plant Physiology,</w:t>
            </w: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23C1C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112</w:t>
            </w: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(1), 193-205.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4CL2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NM_001325625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4-coumarate--CoA ligase 2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 w:rsidP="00136737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Lignin biosynthesis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Lee D., and Douglas C.J. (1996). Two divergent members of a tobacco 4-coumarate:coenzyme a ligase (4cl) gene family. cdna structure, gene inheritance and expression, and properties of recombinant proteins. </w:t>
            </w:r>
            <w:r w:rsidRPr="00523C1C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Plant Physiology,</w:t>
            </w: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23C1C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112</w:t>
            </w: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(1), 193-205.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HCT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NM_001325623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shikimate O-hydroxy cinnamoyl transferase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Lignin biosynthesis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eastAsia="微软雅黑" w:hAnsi="Times New Roman"/>
                <w:color w:val="000000"/>
                <w:sz w:val="20"/>
                <w:szCs w:val="20"/>
                <w:shd w:val="clear" w:color="auto" w:fill="FFFFFF"/>
              </w:rPr>
              <w:t xml:space="preserve">Zago, &amp; E. (2006). Nitric oxide- and hydrogen peroxide-responsive gene regulation during cell death induction in tobacco. </w:t>
            </w:r>
            <w:r w:rsidRPr="00523C1C">
              <w:rPr>
                <w:rFonts w:ascii="Times New Roman" w:eastAsia="微软雅黑" w:hAnsi="Times New Roman"/>
                <w:i/>
                <w:iCs/>
                <w:color w:val="000000"/>
                <w:sz w:val="20"/>
                <w:szCs w:val="20"/>
              </w:rPr>
              <w:t>PLANT PHYSIOLOGY,</w:t>
            </w:r>
            <w:r w:rsidRPr="00523C1C">
              <w:rPr>
                <w:rFonts w:ascii="Times New Roman" w:eastAsia="微软雅黑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23C1C">
              <w:rPr>
                <w:rFonts w:ascii="Times New Roman" w:eastAsia="微软雅黑" w:hAnsi="Times New Roman"/>
                <w:i/>
                <w:iCs/>
                <w:color w:val="000000"/>
                <w:sz w:val="20"/>
                <w:szCs w:val="20"/>
              </w:rPr>
              <w:t>141</w:t>
            </w:r>
            <w:r w:rsidRPr="00523C1C">
              <w:rPr>
                <w:rFonts w:ascii="Times New Roman" w:eastAsia="微软雅黑" w:hAnsi="Times New Roman"/>
                <w:color w:val="000000"/>
                <w:sz w:val="20"/>
                <w:szCs w:val="20"/>
                <w:shd w:val="clear" w:color="auto" w:fill="FFFFFF"/>
              </w:rPr>
              <w:t>(2), 404-411.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CCOMT</w:t>
            </w:r>
          </w:p>
        </w:tc>
        <w:tc>
          <w:tcPr>
            <w:tcW w:w="1539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NM_001325400</w:t>
            </w:r>
          </w:p>
        </w:tc>
        <w:tc>
          <w:tcPr>
            <w:tcW w:w="2804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caffeoyl-CoA O-methyl transferase 1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 w:rsidP="003B426D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Lignin biosynthesis</w:t>
            </w:r>
          </w:p>
        </w:tc>
        <w:tc>
          <w:tcPr>
            <w:tcW w:w="2416" w:type="dxa"/>
            <w:tcBorders>
              <w:left w:val="nil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Martz F., Maury S., Pinçon G.,  et al. (1998). cDNA cloning, substrate specificity and expression study of tobacco caffeoyl-CoA 3-O-methyltransferase, a lignin biosynthetic enzyme. Plant molecular biology, 36(3), 427-437.</w:t>
            </w:r>
          </w:p>
        </w:tc>
      </w:tr>
      <w:tr w:rsidR="000A724C" w:rsidRPr="00523C1C" w:rsidTr="00523C1C">
        <w:trPr>
          <w:jc w:val="center"/>
        </w:trPr>
        <w:tc>
          <w:tcPr>
            <w:tcW w:w="1094" w:type="dxa"/>
            <w:tcBorders>
              <w:left w:val="nil"/>
              <w:bottom w:val="single" w:sz="4" w:space="0" w:color="000000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sz w:val="20"/>
                <w:szCs w:val="20"/>
              </w:rPr>
              <w:t>C4H</w:t>
            </w:r>
          </w:p>
        </w:tc>
        <w:tc>
          <w:tcPr>
            <w:tcW w:w="1539" w:type="dxa"/>
            <w:tcBorders>
              <w:left w:val="nil"/>
              <w:bottom w:val="single" w:sz="4" w:space="0" w:color="000000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AB236952</w:t>
            </w:r>
          </w:p>
        </w:tc>
        <w:tc>
          <w:tcPr>
            <w:tcW w:w="2804" w:type="dxa"/>
            <w:tcBorders>
              <w:left w:val="nil"/>
              <w:bottom w:val="single" w:sz="4" w:space="0" w:color="000000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C4H mRNA for trans-cinnamate 4-monooxygenase</w:t>
            </w:r>
          </w:p>
        </w:tc>
        <w:tc>
          <w:tcPr>
            <w:tcW w:w="2416" w:type="dxa"/>
            <w:tcBorders>
              <w:left w:val="nil"/>
              <w:bottom w:val="single" w:sz="4" w:space="0" w:color="000000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r w:rsidRPr="00523C1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Secondary cell wall biosynthesis</w:t>
            </w:r>
          </w:p>
        </w:tc>
        <w:tc>
          <w:tcPr>
            <w:tcW w:w="2416" w:type="dxa"/>
            <w:tcBorders>
              <w:left w:val="nil"/>
              <w:bottom w:val="single" w:sz="4" w:space="0" w:color="000000"/>
              <w:right w:val="nil"/>
            </w:tcBorders>
          </w:tcPr>
          <w:p w:rsidR="000A724C" w:rsidRPr="00523C1C" w:rsidRDefault="000A724C">
            <w:pPr>
              <w:rPr>
                <w:rFonts w:ascii="Times New Roman" w:hAnsi="Times New Roman"/>
                <w:sz w:val="20"/>
                <w:szCs w:val="20"/>
              </w:rPr>
            </w:pPr>
            <w:smartTag w:uri="urn:schemas-microsoft-com:office:smarttags" w:element="place">
              <w:smartTag w:uri="urn:schemas:contacts" w:element="Sn">
                <w:r w:rsidRPr="00523C1C">
                  <w:rPr>
                    <w:rFonts w:ascii="Times New Roman" w:hAnsi="Times New Roman"/>
                    <w:sz w:val="20"/>
                    <w:szCs w:val="20"/>
                  </w:rPr>
                  <w:t>Gális</w:t>
                </w:r>
              </w:smartTag>
              <w:r w:rsidRPr="00523C1C">
                <w:rPr>
                  <w:rFonts w:ascii="Times New Roman" w:hAnsi="Times New Roman"/>
                  <w:sz w:val="20"/>
                  <w:szCs w:val="20"/>
                </w:rPr>
                <w:t xml:space="preserve"> </w:t>
              </w:r>
              <w:smartTag w:uri="urn:schemas:contacts" w:element="Sn">
                <w:r w:rsidRPr="00523C1C">
                  <w:rPr>
                    <w:rFonts w:ascii="Times New Roman" w:hAnsi="Times New Roman"/>
                    <w:sz w:val="20"/>
                    <w:szCs w:val="20"/>
                  </w:rPr>
                  <w:t>I.</w:t>
                </w:r>
              </w:smartTag>
            </w:smartTag>
            <w:r w:rsidRPr="00523C1C">
              <w:rPr>
                <w:rFonts w:ascii="Times New Roman" w:hAnsi="Times New Roman"/>
                <w:sz w:val="20"/>
                <w:szCs w:val="20"/>
              </w:rPr>
              <w:t>, Šimek P., Narisawa T., et al. (2006). A novel R2R3 MYB transcription factor NtMYBJS1 is a methyl jasmonate</w:t>
            </w:r>
            <w:r w:rsidRPr="00523C1C">
              <w:rPr>
                <w:rFonts w:ascii="宋体" w:eastAsia="宋体" w:hAnsi="宋体" w:cs="宋体" w:hint="eastAsia"/>
                <w:sz w:val="20"/>
                <w:szCs w:val="20"/>
              </w:rPr>
              <w:t>‐</w:t>
            </w:r>
            <w:r w:rsidRPr="00523C1C">
              <w:rPr>
                <w:rFonts w:ascii="Times New Roman" w:hAnsi="Times New Roman"/>
                <w:sz w:val="20"/>
                <w:szCs w:val="20"/>
              </w:rPr>
              <w:t>dependent regulator of phenylpropanoid</w:t>
            </w:r>
            <w:r w:rsidRPr="00523C1C">
              <w:rPr>
                <w:rFonts w:ascii="宋体" w:eastAsia="宋体" w:hAnsi="宋体" w:cs="宋体" w:hint="eastAsia"/>
                <w:sz w:val="20"/>
                <w:szCs w:val="20"/>
              </w:rPr>
              <w:t>‐</w:t>
            </w:r>
            <w:r w:rsidRPr="00523C1C">
              <w:rPr>
                <w:rFonts w:ascii="Times New Roman" w:hAnsi="Times New Roman"/>
                <w:sz w:val="20"/>
                <w:szCs w:val="20"/>
              </w:rPr>
              <w:t>conjugate biosynthesis in tobacco. The Plant Journal, 46(4), 573-592.</w:t>
            </w:r>
          </w:p>
        </w:tc>
      </w:tr>
    </w:tbl>
    <w:p w:rsidR="000A724C" w:rsidRPr="00FF0F6D" w:rsidRDefault="000A724C">
      <w:pPr>
        <w:rPr>
          <w:rFonts w:ascii="Times New Roman" w:hAnsi="Times New Roman"/>
          <w:sz w:val="20"/>
          <w:szCs w:val="20"/>
        </w:rPr>
      </w:pPr>
    </w:p>
    <w:sectPr w:rsidR="000A724C" w:rsidRPr="00FF0F6D" w:rsidSect="00EC1B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0F6D"/>
    <w:rsid w:val="00007801"/>
    <w:rsid w:val="00026AEC"/>
    <w:rsid w:val="000A724C"/>
    <w:rsid w:val="000C6831"/>
    <w:rsid w:val="000E26A4"/>
    <w:rsid w:val="001220FD"/>
    <w:rsid w:val="00131012"/>
    <w:rsid w:val="001352D9"/>
    <w:rsid w:val="00136737"/>
    <w:rsid w:val="001745C7"/>
    <w:rsid w:val="00275E2C"/>
    <w:rsid w:val="002A2C30"/>
    <w:rsid w:val="00321AFE"/>
    <w:rsid w:val="00385489"/>
    <w:rsid w:val="003B426D"/>
    <w:rsid w:val="003C3C37"/>
    <w:rsid w:val="003D3BE2"/>
    <w:rsid w:val="00451487"/>
    <w:rsid w:val="00523C1C"/>
    <w:rsid w:val="00532A51"/>
    <w:rsid w:val="00555AC1"/>
    <w:rsid w:val="00563EB5"/>
    <w:rsid w:val="00570E0C"/>
    <w:rsid w:val="006113DC"/>
    <w:rsid w:val="00612964"/>
    <w:rsid w:val="00627309"/>
    <w:rsid w:val="00644525"/>
    <w:rsid w:val="006E7231"/>
    <w:rsid w:val="007016B5"/>
    <w:rsid w:val="00721CF0"/>
    <w:rsid w:val="00731FB9"/>
    <w:rsid w:val="00744BC8"/>
    <w:rsid w:val="00745D5B"/>
    <w:rsid w:val="008009FE"/>
    <w:rsid w:val="0080301E"/>
    <w:rsid w:val="00827BBB"/>
    <w:rsid w:val="00843606"/>
    <w:rsid w:val="0086273B"/>
    <w:rsid w:val="0092075E"/>
    <w:rsid w:val="0096006F"/>
    <w:rsid w:val="00A46899"/>
    <w:rsid w:val="00A6143D"/>
    <w:rsid w:val="00A73004"/>
    <w:rsid w:val="00B24486"/>
    <w:rsid w:val="00BD4BAE"/>
    <w:rsid w:val="00D1352B"/>
    <w:rsid w:val="00DB0071"/>
    <w:rsid w:val="00DB0A66"/>
    <w:rsid w:val="00DF0FC4"/>
    <w:rsid w:val="00DF2EA8"/>
    <w:rsid w:val="00E54494"/>
    <w:rsid w:val="00EC1B76"/>
    <w:rsid w:val="00EE02A1"/>
    <w:rsid w:val="00F44104"/>
    <w:rsid w:val="00F605D2"/>
    <w:rsid w:val="00F6481B"/>
    <w:rsid w:val="00FC469E"/>
    <w:rsid w:val="00FC5663"/>
    <w:rsid w:val="00FF0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:contacts" w:name="Sn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B7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F0F6D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rsid w:val="000C683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C6831"/>
    <w:rPr>
      <w:rFonts w:cs="Times New Roman"/>
    </w:rPr>
  </w:style>
  <w:style w:type="paragraph" w:styleId="BodyTextFirstIndent">
    <w:name w:val="Body Text First Indent"/>
    <w:basedOn w:val="Normal"/>
    <w:link w:val="BodyTextFirstIndentChar"/>
    <w:uiPriority w:val="99"/>
    <w:rsid w:val="000C6831"/>
    <w:pPr>
      <w:ind w:firstLineChars="200" w:firstLine="498"/>
    </w:pPr>
    <w:rPr>
      <w:rFonts w:ascii="Times New Roman" w:eastAsia="宋体" w:hAnsi="Times New Roman"/>
      <w:sz w:val="24"/>
      <w:szCs w:val="24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locked/>
    <w:rsid w:val="000C6831"/>
    <w:rPr>
      <w:rFonts w:ascii="Times New Roman" w:eastAsia="宋体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75</TotalTime>
  <Pages>3</Pages>
  <Words>565</Words>
  <Characters>3222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yaowe</dc:creator>
  <cp:keywords/>
  <dc:description/>
  <cp:lastModifiedBy>AutoBVT</cp:lastModifiedBy>
  <cp:revision>74</cp:revision>
  <dcterms:created xsi:type="dcterms:W3CDTF">2019-10-18T03:43:00Z</dcterms:created>
  <dcterms:modified xsi:type="dcterms:W3CDTF">2019-10-26T12:14:00Z</dcterms:modified>
</cp:coreProperties>
</file>